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6307"/>
        <w:gridCol w:w="2057"/>
      </w:tblGrid>
      <w:tr w:rsidR="00C14063" w:rsidTr="004F314F">
        <w:trPr>
          <w:trHeight w:val="1743"/>
        </w:trPr>
        <w:tc>
          <w:tcPr>
            <w:tcW w:w="1986" w:type="dxa"/>
            <w:hideMark/>
          </w:tcPr>
          <w:p w:rsidR="00C14063" w:rsidRDefault="00C14063">
            <w:pPr>
              <w:ind w:left="-10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0650" cy="1285875"/>
                  <wp:effectExtent l="0" t="0" r="0" b="9525"/>
                  <wp:docPr id="2" name="Рисунок 2" descr="фонд поддержки детей уменьше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фонд поддержки детей уменьше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7" w:type="dxa"/>
            <w:hideMark/>
          </w:tcPr>
          <w:p w:rsidR="00C14063" w:rsidRDefault="00C140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Реабилитационного центра «Адели» «Организация деятельности социальной службы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Микрореабилитационный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  <w:p w:rsidR="00C14063" w:rsidRDefault="00C140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поддержке Фонда поддержки детей, находящихся в трудной жизненной ситуации</w:t>
            </w:r>
          </w:p>
        </w:tc>
        <w:tc>
          <w:tcPr>
            <w:tcW w:w="2057" w:type="dxa"/>
          </w:tcPr>
          <w:p w:rsidR="00C14063" w:rsidRDefault="00C14063">
            <w:pPr>
              <w:rPr>
                <w:noProof/>
                <w:sz w:val="8"/>
                <w:lang w:eastAsia="ru-RU"/>
              </w:rPr>
            </w:pPr>
          </w:p>
          <w:p w:rsidR="00C14063" w:rsidRDefault="00C14063">
            <w:r>
              <w:rPr>
                <w:noProof/>
                <w:lang w:eastAsia="ru-RU"/>
              </w:rPr>
              <w:drawing>
                <wp:inline distT="0" distB="0" distL="0" distR="0">
                  <wp:extent cx="1181100" cy="1133475"/>
                  <wp:effectExtent l="0" t="0" r="0" b="9525"/>
                  <wp:docPr id="1" name="Рисунок 1" descr="пингвин-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ингвин-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063" w:rsidRDefault="00C14063"/>
    <w:p w:rsidR="00C14063" w:rsidRPr="00C14063" w:rsidRDefault="00C14063" w:rsidP="00C14063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32"/>
          <w:szCs w:val="28"/>
        </w:rPr>
      </w:pPr>
      <w:r w:rsidRPr="00C14063">
        <w:rPr>
          <w:b/>
          <w:color w:val="000000"/>
          <w:sz w:val="32"/>
          <w:szCs w:val="28"/>
        </w:rPr>
        <w:t>Рекомендации педагога-психолога: игры по дороге домой</w:t>
      </w:r>
      <w:bookmarkStart w:id="0" w:name="_GoBack"/>
      <w:bookmarkEnd w:id="0"/>
    </w:p>
    <w:p w:rsidR="00C14063" w:rsidRDefault="00C14063" w:rsidP="00C14063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C14063" w:rsidRDefault="00C14063" w:rsidP="00C1406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«Дорожка».</w:t>
      </w:r>
    </w:p>
    <w:p w:rsidR="00C14063" w:rsidRDefault="00C14063" w:rsidP="00C1406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игра поможет развить у ребенка наблюдательность, понятия «широкий», «узкий», «большой», «маленький». Пусть малыш сам выбирает и ведёт вас, ваша задача проговаривать, по какой дорожке вы шагаете. «Маленькие ножки идут по узенькой дорожке», или «А большие ноги идут по широкой дороге».</w:t>
      </w:r>
    </w:p>
    <w:p w:rsidR="00C14063" w:rsidRDefault="00C14063" w:rsidP="00C1406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14063" w:rsidRDefault="00C14063" w:rsidP="00C1406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«Ниже-выше».</w:t>
      </w:r>
    </w:p>
    <w:p w:rsidR="00C14063" w:rsidRDefault="00C14063" w:rsidP="00C1406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направлена на формирование у ребенка представлений о величине предметов. Например: «Покажи мне самый высокий дом, а теперь покажи дом, который ниже». Можно выбрать любые другие предметы — деревья, скамейки, кусты, заборы и т. д.</w:t>
      </w:r>
    </w:p>
    <w:p w:rsidR="00C14063" w:rsidRDefault="00C14063" w:rsidP="00C1406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14063" w:rsidRDefault="00C14063" w:rsidP="00C1406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«Маленький фантазёр».</w:t>
      </w:r>
    </w:p>
    <w:p w:rsidR="00C14063" w:rsidRDefault="00C14063" w:rsidP="00C1406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Предложите ребенку посмотреть на облака и придумать, на что они похожи. Возможно, это будет собачка или кошечка, а может жираф с длинной шеей. Только важно помнить, что и вы должны активно принимать участие в этой игре. Фантазируйте вместе с малышом.</w:t>
      </w:r>
    </w:p>
    <w:p w:rsidR="00C14063" w:rsidRDefault="00C14063" w:rsidP="00C1406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14063" w:rsidRDefault="00C14063" w:rsidP="00C1406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«Что это за звук?»</w:t>
      </w:r>
    </w:p>
    <w:p w:rsidR="00C14063" w:rsidRDefault="00C14063" w:rsidP="00C1406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Прислушайтесь. Кто это поёт? Птичка? Какая? А может это дятел стучит? А вдруг это дождик стучит по зонтику? А вы слушали, как шуршат листья под ногами? Как здорово идти и загребать ногой листву осенью, слушать, как шуршит листва.</w:t>
      </w:r>
    </w:p>
    <w:p w:rsidR="00C14063" w:rsidRDefault="00C14063" w:rsidP="00C1406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14063" w:rsidRDefault="00C14063" w:rsidP="00C1406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«Бывает–не бывает».</w:t>
      </w:r>
    </w:p>
    <w:p w:rsidR="00C14063" w:rsidRDefault="00C14063" w:rsidP="00C1406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Предложите ребенку подтвердить правильность высказывания словами «бывает» или «не бывает». Летом падает снег. Человек выше собаки. Воробей – это не птица. Кошка умеет летать.</w:t>
      </w:r>
    </w:p>
    <w:p w:rsidR="00C14063" w:rsidRDefault="00C14063" w:rsidP="00C1406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14063" w:rsidRDefault="00C14063" w:rsidP="00C1406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«Забавные фигурки».</w:t>
      </w:r>
    </w:p>
    <w:p w:rsidR="00C14063" w:rsidRPr="00C14063" w:rsidRDefault="00C14063" w:rsidP="00C1406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Летом можно играть в песочек, лепить «куличики», используя формочки. Зимой, снежки можно лепить разных размеров: от самых маленьких, до самых больших, какие только получатся.</w:t>
      </w:r>
    </w:p>
    <w:sectPr w:rsidR="00C14063" w:rsidRPr="00C14063" w:rsidSect="00C14063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63"/>
    <w:rsid w:val="004F314F"/>
    <w:rsid w:val="007D221C"/>
    <w:rsid w:val="00C1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0928D-2A6D-4D6F-8927-674DFAE7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06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0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1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2021-12-15T07:39:00Z</dcterms:created>
  <dcterms:modified xsi:type="dcterms:W3CDTF">2021-12-17T09:44:00Z</dcterms:modified>
</cp:coreProperties>
</file>