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307"/>
        <w:gridCol w:w="2057"/>
      </w:tblGrid>
      <w:tr w:rsidR="00EA090A" w:rsidTr="00957AEF">
        <w:trPr>
          <w:trHeight w:val="1743"/>
          <w:jc w:val="center"/>
        </w:trPr>
        <w:tc>
          <w:tcPr>
            <w:tcW w:w="1985" w:type="dxa"/>
            <w:hideMark/>
          </w:tcPr>
          <w:p w:rsidR="00EA090A" w:rsidRDefault="00EA090A">
            <w:pPr>
              <w:ind w:left="-109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1285875"/>
                  <wp:effectExtent l="0" t="0" r="0" b="9525"/>
                  <wp:docPr id="2" name="Рисунок 2" descr="фонд поддержки детей уменьше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фонд поддержки детей уменьше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hideMark/>
          </w:tcPr>
          <w:p w:rsidR="00EA090A" w:rsidRDefault="00EA09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Реабилитационного центра «Адели» «Организация деятельности социальной службы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Микрореабилитационный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  <w:p w:rsidR="00EA090A" w:rsidRDefault="00EA09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поддержке Фонда поддержки детей, находящихся в трудной жизненной ситуации</w:t>
            </w:r>
          </w:p>
        </w:tc>
        <w:tc>
          <w:tcPr>
            <w:tcW w:w="2057" w:type="dxa"/>
          </w:tcPr>
          <w:p w:rsidR="00EA090A" w:rsidRDefault="00EA090A">
            <w:pPr>
              <w:rPr>
                <w:noProof/>
                <w:sz w:val="8"/>
                <w:lang w:eastAsia="ru-RU"/>
              </w:rPr>
            </w:pPr>
          </w:p>
          <w:p w:rsidR="00EA090A" w:rsidRDefault="00EA090A"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133475"/>
                  <wp:effectExtent l="0" t="0" r="0" b="9525"/>
                  <wp:docPr id="1" name="Рисунок 1" descr="пингвин-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ингвин-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21C" w:rsidRDefault="007D221C">
      <w:bookmarkStart w:id="0" w:name="_GoBack"/>
      <w:bookmarkEnd w:id="0"/>
    </w:p>
    <w:p w:rsidR="00EA090A" w:rsidRDefault="00EA090A" w:rsidP="00EA090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EA090A">
        <w:rPr>
          <w:rFonts w:ascii="Times New Roman" w:eastAsia="Calibri" w:hAnsi="Times New Roman" w:cs="Times New Roman"/>
          <w:b/>
          <w:sz w:val="32"/>
          <w:szCs w:val="24"/>
        </w:rPr>
        <w:t>Комплекс игр для развития словесно – логической памяти</w:t>
      </w:r>
    </w:p>
    <w:p w:rsidR="00EA090A" w:rsidRPr="00EA090A" w:rsidRDefault="00EA090A" w:rsidP="00EA090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Запоминание пар слов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Учащемуся предлагаются наборы из 25-30 пар не связанных друг с другом слов,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: «кит» — «сигарета», «слива» — «лампа», «жук» — «облако» и т. п. Последовательно прочитывая каждую пару слов, следует сформировать некие образы, необычные картинки, где в причудливой манере сочетались бы эти два предмета. Каждую картинку следует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представить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 можно ярче, эмоциональнее.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 плывет кит с сигаретой во рту, сигарета светит в сумраке, от нее поднимается дым, похожий по цвету на шкуру кита.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 этого даются на бланке или зачитываются первые слова каждой пары. Вторые слова надо вспомнить самостоятельно и записать. Затем предъявляются только вторые слова пары, по ним необходимо восстановить первое слово. Процедура повторяется через несколько дней после запоминания и завершается анализом причин допущенных ошибок.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 упражнение призвано совершенствовать приемы создания ярких образов при запоминании текстового материала.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Поиск ассоциаций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Зачитываются ряды из 10-15 слов, не связанных друг с другом по смыслу. Например, (начало ряда): «цветок», «кухня», «губа», «басня», «моряк» ... Задача учащегося — быстро подобрать к каждому услышанному слову какое-либо другое, так или иначе связанное с ним (т. е. найти ассоциацию), и записать его на листке. Ассоциации подбираются поочередно на каждое слово. Так, к «цветку» подходит, скажем, «стебель» (или «горшок», или «дерево», или «свидание»), к «кухне» — «кастрюля» (или «плита», или «комната»), к «губе» — «щека» (или «помада», или «поцелуй», или «саксофон») и т. п. Темп зачитывания слов должен быть таким, чтобы учащиеся успевали находить и записывать ассоциации на каждое слово. После того, как записана ассоциация на последнее слово ряда, участникам предлагается быстро записать (воспроизвести) на листке все услышанные ими слова, используя для этого в качестве подспорья, находящиеся у них перед глазами слова-ассоциации. Так, глядя на слово «стебель», надо воспроизвести слово «цветок», на «кастрюлю» — «кухня» и т. д.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окончании результаты сопоставляются с исходным рядом, фиксируются ошибки и пропуски и анализируются их причины (связанные, как правило, с выбором неточных, «расплывчатых» ассоциаций или недостаточно интенсивным продумыванием связей между предъявленным и записанным словами). Если задание выполнено успешно, то в последующих пробах задача усложняется: увеличивается количество предъявляемых слов (например, до 25-30 и более) или учащихся просят специально подбирать более отдаленные, неоднозначные ассоциации, затрудняющие процесс воспроизведения.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Это упражнение развивает способность быстро находить разнообразные ассоциации к запоминаемому материалу и целенаправленно их использовать в процессе его заучивания 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воспроизведения, а также формирует умение легко использовать различные подсказки и наводящие вопросы при вспоминании выученного материала.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«Тройная стимуляция» памяти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Упражнение разработано по аналогии с известной методикой «двойной стимуляции» памяти (А. Н. Леонтьев) и на начальном этапе предполагает работу лишь с двумя рядами стимулов. Учащемуся дается ряд карточек с напечатанными на них словами (или нарисованными картинками) и предлагается из другого аналогичного набора карточек подобрать к каждой из первого набора такую, которая подходила бы к ней по смыслу (например, «зерно» — «хлеб», «дом» — «забор»), с тем чтобы в дальнейшем можно было, глядя лишь на второй ряд карточек, в точности вспомнить все карточки первого ряда.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 того, как учащийся усвоил принцип подбора сходных слов и воспроизведение основного слова с опорой на вспомогательное, задание усложняется.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Ребенку предлагают первый набор карточек (например: «крыша», «рельс»,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лодка»...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 и просят положить рядом с ними карточки второго набора («рыба», «окно», «вокзал»...), основываясь на смысловом, образном, эмоциональном или каком-либо ином сходстве слов.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 упражнение формирует способность быстро находить и устанавливать смысловые связи между отдельными элементами материала и опираться на них при его воспроизведении.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Раскладывание карточек с несвязанными словами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Используются комплекты из 10-15 карточек со словами, по возможности, не связанными по смыслу и не похожими по звучанию.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: «счетчик», «стол», «фонарь», «палитра», «токарь», «столб», «свинец», «шерсть», «фикус», «мелодия», «схема», «зебра». Задача учащегося — предложить несколько вариантов раскладки карточек, облегчающих их запоминание. Например, можно объединить слова с общей буквой («о» или «ф») и уже внутри каждой группы попытаться увязать слова друг с другом: «фикус» светит как «фонарь» (или «фонарь» сделан в форме «фикус»), на «столе» лежит «схема» «свинцового» «счетчика», и на нее пролили «сироп». Возможна и логическая классификация: «токарь», «зебра», «фикус» - живое (причем, здесь названы и человек, и животное, и растение); «палитра» и «мелодия» связаны с искусством; «стол», «фонарь», «счетчик» — бытовые предметы и т. д. Допускается объединять слова и по конкретным ситуациям, составив один-два небольших рассказа,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 некто включил «фонарь», чтобы посмотреть на «счетчик», для этого он пододвинул «стол» и взобрался на него, уронив «фикус» и т. п.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 раскладывания карточек осуществляется непосредственное, а затем и отсроченное воспроизведение слов и анализируются причины пропусков и замен некоторых из них.</w:t>
      </w:r>
    </w:p>
    <w:p w:rsidR="00EA090A" w:rsidRDefault="00EA090A" w:rsidP="00EA09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 упражнение формирует способность находить многообразные связи в разрозненном первоначально материале, обеспечивая тем самым эффективное его запоминание.</w:t>
      </w:r>
    </w:p>
    <w:p w:rsidR="00EA090A" w:rsidRDefault="00EA090A"/>
    <w:sectPr w:rsidR="00EA090A" w:rsidSect="00EA09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0A"/>
    <w:rsid w:val="007D221C"/>
    <w:rsid w:val="00957AEF"/>
    <w:rsid w:val="00E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C6B37-9DF7-4A9E-9A1F-276732ED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9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9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2021-12-17T09:43:00Z</cp:lastPrinted>
  <dcterms:created xsi:type="dcterms:W3CDTF">2021-12-15T07:58:00Z</dcterms:created>
  <dcterms:modified xsi:type="dcterms:W3CDTF">2021-12-17T09:44:00Z</dcterms:modified>
</cp:coreProperties>
</file>